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36288" w14:textId="77777777" w:rsidR="00BD2C2D" w:rsidRDefault="00BD2C2D" w:rsidP="00BD2C2D">
      <w:pPr>
        <w:tabs>
          <w:tab w:val="left" w:pos="2853"/>
        </w:tabs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ERATA</w:t>
      </w:r>
    </w:p>
    <w:p w14:paraId="30D7E73B" w14:textId="77777777" w:rsidR="00BD2C2D" w:rsidRDefault="00BD2C2D" w:rsidP="00BD2C2D">
      <w:pPr>
        <w:rPr>
          <w:rFonts w:cs="Arial"/>
          <w:b/>
          <w:sz w:val="18"/>
          <w:szCs w:val="18"/>
        </w:rPr>
      </w:pPr>
    </w:p>
    <w:p w14:paraId="65CE8485" w14:textId="77777777" w:rsidR="00BD2C2D" w:rsidRDefault="00BD2C2D" w:rsidP="00BD2C2D">
      <w:pPr>
        <w:rPr>
          <w:rFonts w:cs="Arial"/>
          <w:b/>
          <w:sz w:val="18"/>
          <w:szCs w:val="18"/>
        </w:rPr>
      </w:pPr>
    </w:p>
    <w:p w14:paraId="3EBEC419" w14:textId="77777777" w:rsidR="00BD2C2D" w:rsidRDefault="00BD2C2D" w:rsidP="00BD2C2D">
      <w:pPr>
        <w:rPr>
          <w:rFonts w:cs="Arial"/>
          <w:b/>
          <w:sz w:val="18"/>
          <w:szCs w:val="18"/>
        </w:rPr>
      </w:pPr>
    </w:p>
    <w:p w14:paraId="3775CE7F" w14:textId="77777777" w:rsidR="00BD2C2D" w:rsidRDefault="00BD2C2D" w:rsidP="00BD2C2D">
      <w:pPr>
        <w:rPr>
          <w:rFonts w:cs="Arial"/>
          <w:b/>
          <w:sz w:val="18"/>
          <w:szCs w:val="18"/>
        </w:rPr>
      </w:pPr>
    </w:p>
    <w:p w14:paraId="3D7FA8B1" w14:textId="77777777" w:rsidR="00BD2C2D" w:rsidRDefault="00BD2C2D" w:rsidP="00BD2C2D">
      <w:pPr>
        <w:rPr>
          <w:rFonts w:cs="Arial"/>
          <w:b/>
          <w:sz w:val="18"/>
          <w:szCs w:val="18"/>
        </w:rPr>
      </w:pPr>
    </w:p>
    <w:p w14:paraId="65775DDF" w14:textId="281AB767" w:rsidR="00BD2C2D" w:rsidRPr="0059467E" w:rsidRDefault="00BD2C2D" w:rsidP="00BD2C2D">
      <w:pPr>
        <w:rPr>
          <w:rFonts w:cs="Arial"/>
          <w:b/>
          <w:sz w:val="18"/>
          <w:szCs w:val="18"/>
        </w:rPr>
      </w:pPr>
      <w:r w:rsidRPr="0059467E">
        <w:rPr>
          <w:rFonts w:cs="Arial"/>
          <w:b/>
          <w:sz w:val="18"/>
          <w:szCs w:val="18"/>
        </w:rPr>
        <w:t xml:space="preserve">                 In </w:t>
      </w:r>
      <w:r w:rsidR="0059467E">
        <w:rPr>
          <w:rFonts w:cs="Arial"/>
          <w:b/>
          <w:sz w:val="18"/>
          <w:szCs w:val="18"/>
        </w:rPr>
        <w:t>a</w:t>
      </w:r>
      <w:r w:rsidRPr="0059467E">
        <w:rPr>
          <w:rFonts w:cs="Arial"/>
          <w:b/>
          <w:sz w:val="18"/>
          <w:szCs w:val="18"/>
        </w:rPr>
        <w:t>nuntul public nr. 66241/23.06.2020, la HCL nr.66/2001, se va citi HCL nr.66/2011.</w:t>
      </w:r>
    </w:p>
    <w:p w14:paraId="5EC62FE7" w14:textId="77777777" w:rsidR="006F4F11" w:rsidRPr="0059467E" w:rsidRDefault="0059467E">
      <w:pPr>
        <w:rPr>
          <w:bCs/>
        </w:rPr>
      </w:pPr>
    </w:p>
    <w:sectPr w:rsidR="006F4F11" w:rsidRPr="0059467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1E0"/>
    <w:rsid w:val="002751E0"/>
    <w:rsid w:val="00334422"/>
    <w:rsid w:val="0059467E"/>
    <w:rsid w:val="00BD2C2D"/>
    <w:rsid w:val="00FF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78338"/>
  <w15:chartTrackingRefBased/>
  <w15:docId w15:val="{654C45E3-59DE-4982-BA62-56BDAD2E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C2D"/>
    <w:pPr>
      <w:spacing w:after="0" w:line="240" w:lineRule="auto"/>
      <w:jc w:val="both"/>
    </w:pPr>
    <w:rPr>
      <w:rFonts w:ascii="Arial" w:eastAsia="Calibri" w:hAnsi="Arial" w:cs="Times New Roman"/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7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Mocanu</dc:creator>
  <cp:keywords/>
  <dc:description/>
  <cp:lastModifiedBy>Mihaela Mocanu</cp:lastModifiedBy>
  <cp:revision>3</cp:revision>
  <dcterms:created xsi:type="dcterms:W3CDTF">2021-03-11T13:15:00Z</dcterms:created>
  <dcterms:modified xsi:type="dcterms:W3CDTF">2021-03-11T13:16:00Z</dcterms:modified>
</cp:coreProperties>
</file>